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8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8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9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8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8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98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98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8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center"/>
        <w:spacing w:before="0" w:beforeAutospacing="0" w:after="0" w:afterAutospacing="0"/>
        <w:shd w:val="clear" w:color="auto" w:fill="ffffff"/>
        <w:rPr>
          <w:rStyle w:val="1039"/>
          <w:b/>
          <w:color w:val="000000"/>
          <w:sz w:val="28"/>
          <w:szCs w:val="28"/>
        </w:rPr>
      </w:pPr>
      <w:r>
        <w:rPr>
          <w:rStyle w:val="1039"/>
          <w:b/>
          <w:color w:val="000000"/>
          <w:sz w:val="28"/>
          <w:szCs w:val="28"/>
        </w:rPr>
        <w:t xml:space="preserve">И</w:t>
      </w:r>
      <w:r>
        <w:rPr>
          <w:rStyle w:val="1039"/>
          <w:b/>
          <w:color w:val="000000"/>
          <w:sz w:val="28"/>
          <w:szCs w:val="28"/>
        </w:rPr>
        <w:t xml:space="preserve">тоги </w:t>
      </w:r>
      <w:r>
        <w:rPr>
          <w:rStyle w:val="103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39"/>
          <w:b/>
          <w:color w:val="000000"/>
          <w:sz w:val="28"/>
          <w:szCs w:val="28"/>
        </w:rPr>
      </w:r>
      <w:r>
        <w:rPr>
          <w:rStyle w:val="1039"/>
          <w:b/>
          <w:color w:val="000000"/>
          <w:sz w:val="28"/>
          <w:szCs w:val="28"/>
        </w:rPr>
      </w:r>
    </w:p>
    <w:p>
      <w:pPr>
        <w:pStyle w:val="1038"/>
        <w:jc w:val="center"/>
        <w:spacing w:before="0" w:beforeAutospacing="0" w:after="0" w:afterAutospacing="0"/>
        <w:shd w:val="clear" w:color="auto" w:fill="ffffff"/>
        <w:rPr>
          <w:rStyle w:val="1039"/>
          <w:b/>
          <w:color w:val="000000"/>
          <w:sz w:val="28"/>
          <w:szCs w:val="28"/>
        </w:rPr>
      </w:pPr>
      <w:r>
        <w:rPr>
          <w:rStyle w:val="1039"/>
          <w:b/>
          <w:color w:val="000000"/>
          <w:sz w:val="28"/>
          <w:szCs w:val="28"/>
        </w:rPr>
        <w:t xml:space="preserve">за</w:t>
      </w:r>
      <w:r>
        <w:rPr>
          <w:rStyle w:val="1039"/>
          <w:b/>
          <w:color w:val="000000"/>
          <w:sz w:val="28"/>
          <w:szCs w:val="28"/>
        </w:rPr>
        <w:t xml:space="preserve"> </w:t>
      </w:r>
      <w:r>
        <w:rPr>
          <w:rStyle w:val="1039"/>
          <w:b/>
          <w:color w:val="000000"/>
          <w:sz w:val="28"/>
          <w:szCs w:val="28"/>
        </w:rPr>
        <w:t xml:space="preserve">январь-июль</w:t>
      </w:r>
      <w:r>
        <w:rPr>
          <w:rStyle w:val="1039"/>
          <w:b/>
          <w:color w:val="000000"/>
          <w:sz w:val="28"/>
          <w:szCs w:val="28"/>
        </w:rPr>
        <w:t xml:space="preserve"> </w:t>
      </w:r>
      <w:r>
        <w:rPr>
          <w:rStyle w:val="1039"/>
          <w:b/>
          <w:color w:val="000000"/>
          <w:sz w:val="28"/>
          <w:szCs w:val="28"/>
        </w:rPr>
        <w:t xml:space="preserve">20</w:t>
      </w:r>
      <w:r>
        <w:rPr>
          <w:rStyle w:val="1039"/>
          <w:b/>
          <w:color w:val="000000"/>
          <w:sz w:val="28"/>
          <w:szCs w:val="28"/>
        </w:rPr>
        <w:t xml:space="preserve">2</w:t>
      </w:r>
      <w:r>
        <w:rPr>
          <w:rStyle w:val="1039"/>
          <w:b/>
          <w:color w:val="000000"/>
          <w:sz w:val="28"/>
          <w:szCs w:val="28"/>
        </w:rPr>
        <w:t xml:space="preserve">4</w:t>
      </w:r>
      <w:r>
        <w:rPr>
          <w:rStyle w:val="1039"/>
          <w:b/>
          <w:color w:val="000000"/>
          <w:sz w:val="28"/>
          <w:szCs w:val="28"/>
        </w:rPr>
        <w:t xml:space="preserve"> </w:t>
      </w:r>
      <w:r>
        <w:rPr>
          <w:rStyle w:val="1039"/>
          <w:b/>
          <w:color w:val="000000"/>
          <w:sz w:val="28"/>
          <w:szCs w:val="28"/>
        </w:rPr>
        <w:t xml:space="preserve">год</w:t>
      </w:r>
      <w:r>
        <w:rPr>
          <w:rStyle w:val="1039"/>
          <w:b/>
          <w:color w:val="000000"/>
          <w:sz w:val="28"/>
          <w:szCs w:val="28"/>
        </w:rPr>
        <w:t xml:space="preserve">а</w:t>
      </w:r>
      <w:r>
        <w:rPr>
          <w:rStyle w:val="1039"/>
          <w:b/>
          <w:color w:val="000000"/>
          <w:sz w:val="28"/>
          <w:szCs w:val="28"/>
        </w:rPr>
      </w:r>
      <w:r>
        <w:rPr>
          <w:rStyle w:val="1039"/>
          <w:b/>
          <w:color w:val="000000"/>
          <w:sz w:val="28"/>
          <w:szCs w:val="28"/>
        </w:rPr>
      </w:r>
    </w:p>
    <w:p>
      <w:pPr>
        <w:pStyle w:val="103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yellow"/>
        </w:rPr>
      </w:pP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</w:p>
    <w:p>
      <w:pPr>
        <w:pStyle w:val="987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рь-июль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июль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676,1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sz w:val="28"/>
          <w:szCs w:val="28"/>
          <w:highlight w:val="white"/>
          <w:lang w:eastAsia="ru-RU"/>
        </w:rPr>
        <w:t xml:space="preserve">– 14</w:t>
      </w:r>
      <w:r>
        <w:rPr>
          <w:sz w:val="28"/>
          <w:szCs w:val="28"/>
          <w:highlight w:val="white"/>
          <w:lang w:eastAsia="ru-RU"/>
        </w:rPr>
        <w:t xml:space="preserve">3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5 %.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итогам семи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 Удмуртия по индексу промышленно</w:t>
      </w:r>
      <w:r>
        <w:rPr>
          <w:sz w:val="28"/>
          <w:szCs w:val="28"/>
          <w:highlight w:val="white"/>
          <w:lang w:eastAsia="ru-RU"/>
        </w:rPr>
        <w:t xml:space="preserve">г</w:t>
      </w:r>
      <w:r>
        <w:rPr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ТОП-10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106,6</w:t>
      </w:r>
      <w:r>
        <w:rPr>
          <w:sz w:val="28"/>
          <w:szCs w:val="28"/>
          <w:highlight w:val="white"/>
          <w:lang w:eastAsia="ru-RU"/>
        </w:rPr>
        <w:t xml:space="preserve"> %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что выше ИПП Российской Федер</w:t>
      </w:r>
      <w:r>
        <w:rPr>
          <w:sz w:val="28"/>
          <w:szCs w:val="28"/>
          <w:highlight w:val="white"/>
          <w:lang w:eastAsia="ru-RU"/>
        </w:rPr>
        <w:t xml:space="preserve">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,8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380,6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sz w:val="28"/>
          <w:szCs w:val="28"/>
          <w:highlight w:val="white"/>
          <w:lang w:eastAsia="ru-RU"/>
        </w:rPr>
        <w:t xml:space="preserve">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138,3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4-е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114,9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6,3 </w:t>
      </w:r>
      <w:r>
        <w:rPr>
          <w:sz w:val="28"/>
          <w:szCs w:val="28"/>
          <w:highlight w:val="white"/>
          <w:lang w:eastAsia="ru-RU"/>
        </w:rPr>
        <w:t xml:space="preserve">процентных пункта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08,6</w:t>
      </w:r>
      <w:r>
        <w:rPr>
          <w:sz w:val="28"/>
          <w:szCs w:val="28"/>
          <w:highlight w:val="white"/>
          <w:lang w:eastAsia="ru-RU"/>
        </w:rPr>
        <w:t xml:space="preserve">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</w:t>
      </w:r>
      <w:r>
        <w:rPr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6,3</w:t>
      </w:r>
      <w:r>
        <w:rPr>
          <w:sz w:val="28"/>
          <w:szCs w:val="28"/>
          <w:highlight w:val="white"/>
          <w:lang w:eastAsia="ru-RU"/>
        </w:rPr>
        <w:t xml:space="preserve">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электрического оборуд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ования – 108,7 %;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машин и оборудования, не включенных в другие группировки – 105,8 %;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125,6 %;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162,8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в 111,9 %;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ремонт и монтаж машин и оборудования – 114,7 %.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104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,6 %;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мебели – 103,7 %;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резиновых и пластмассовых изделий – 102,7 %;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дство бумаги и бумажных изделий – 106,8 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медицинских целях – в 17,5 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30"/>
        <w:numPr>
          <w:ilvl w:val="0"/>
          <w:numId w:val="57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й продукции – 101,4 %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семи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</w:t>
      </w:r>
      <w:r>
        <w:rPr>
          <w:sz w:val="28"/>
          <w:szCs w:val="28"/>
          <w:highlight w:val="white"/>
          <w:lang w:eastAsia="ru-RU"/>
        </w:rPr>
        <w:t xml:space="preserve">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8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7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Добыча полезных ископаемых в общем объеме производства составила 38,5 %, объем отгруженных товаров отрасли составил 260,3 млрд. рублей, темп роста к соответствующему периоду 2023 года – 161,9 %.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98,1 %. По «Добыче полезных ископаемых» Удмуртская Республика на 5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100 лучших товаров России-2024.  Приумножим гордость Отечества!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Стабильность, масштабность, демократичность, двухступенчатый отбор: уже 27 лет конкурс «100 лучших товаров России» остается популярным среди товаропроизводителей. Девиз конкурса: Приумножим гордость Отечества!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этом году на региональный этап конкурса было заявлено 36 видов продукции и услуг от 21-го предприятия Удмуртской Республики.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Продукция и услуги предприятий-участников оценивалась в 6-ти номинациях: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Продовольственные товары;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Промышленные товары для населения;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Продукция производственно-технического назначения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 для населения;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 производственно- технического назначения;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0"/>
        <w:numPr>
          <w:ilvl w:val="0"/>
          <w:numId w:val="58"/>
        </w:numPr>
        <w:ind w:righ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Изделия народных и художественных промыслов.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работе региональной конкурсной комиссии по качеству приняли участие представители Министерства промышленности и торговли УР, Министерства экономики УР,  Министерства сельского хозяйства и продовольствия УР, Управления Роспотребнадзора по УР, эксперты ФБУ </w:t>
      </w:r>
      <w:r>
        <w:rPr>
          <w:sz w:val="28"/>
          <w:szCs w:val="28"/>
        </w:rPr>
        <w:t xml:space="preserve">«Удмуртский ЦСМ» и представители других организаций.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white"/>
        </w:rPr>
        <w:t xml:space="preserve">По итогам</w:t>
      </w:r>
      <w:r>
        <w:rPr>
          <w:b w:val="0"/>
          <w:bCs w:val="0"/>
          <w:sz w:val="28"/>
          <w:szCs w:val="28"/>
          <w:highlight w:val="white"/>
        </w:rPr>
        <w:t xml:space="preserve"> оценивания конкурсных продукций и услуг региональный этап </w:t>
      </w:r>
      <w:r>
        <w:rPr>
          <w:b w:val="0"/>
          <w:bCs w:val="0"/>
          <w:sz w:val="28"/>
          <w:szCs w:val="28"/>
          <w:highlight w:val="white"/>
        </w:rPr>
        <w:t xml:space="preserve">пр</w:t>
      </w:r>
      <w:r>
        <w:rPr>
          <w:b w:val="0"/>
          <w:bCs w:val="0"/>
          <w:sz w:val="28"/>
          <w:szCs w:val="28"/>
        </w:rPr>
        <w:t xml:space="preserve">ошли: АО «Концерн «Калашников», ООО «Концерн «Аксион», АО «Милком» ПП «Глазов-Молоко», АО </w:t>
      </w:r>
      <w:r>
        <w:rPr>
          <w:b w:val="0"/>
          <w:bCs w:val="0"/>
          <w:sz w:val="28"/>
          <w:szCs w:val="28"/>
        </w:rPr>
        <w:t xml:space="preserve">«Милком» ПП </w:t>
      </w:r>
      <w:r>
        <w:rPr>
          <w:b w:val="0"/>
          <w:bCs w:val="0"/>
          <w:sz w:val="28"/>
          <w:szCs w:val="28"/>
        </w:rPr>
        <w:t xml:space="preserve"> «Кезский сырзавод», ООО «Завод микроэлектронных технологий», ООО «Ижсталь-ТНП», АО «Свет», </w:t>
      </w:r>
      <w:r>
        <w:rPr>
          <w:b w:val="0"/>
          <w:bCs w:val="0"/>
          <w:sz w:val="28"/>
          <w:szCs w:val="28"/>
        </w:rPr>
        <w:t xml:space="preserve">ООО «Аэроскан», ЗАО «Сарапульский дрожжепивзавод», АО «»Ижевский электромеханический завод «Купол», ООО «Трейдинговая компания «Найди», ОАО «Воткинский молочный завод», ООО «Завод строительных лесов «Со</w:t>
      </w:r>
      <w:r>
        <w:rPr>
          <w:b w:val="0"/>
          <w:bCs w:val="0"/>
          <w:sz w:val="28"/>
          <w:szCs w:val="28"/>
        </w:rPr>
        <w:t xml:space="preserve">юз», ООО «Завод нефтегазового оборудования «Техновек», ЗАО «Шаркан-трикотаж», АОр МД НП «Красная звезда», ООО «Воткинский завод теплоизоляционных материалов», ООО «Водовоз18», ООО «Ижевский завод тепловой техники», ООО «ИЗТТ-Сарапул», ООО «Гостинный двор».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sz w:val="28"/>
          <w:szCs w:val="28"/>
          <w:highlight w:val="none"/>
        </w:rPr>
        <w:t xml:space="preserve">ООО «Криотехника» продолжает успешно тиражировать бережливое производство на своем предприятии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ООО «Криотехника» – участник нацпроекта «Производительность труда» год назад оптимизировали поток по производству испарителей атмосферных, в результате увеличилась выработка на потоке на 78%. 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Предприятие не остановилось на достигнутом и продолжило вводить культуру бережливого производства в остальные производственные процессы.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На потоке по производству криогенных резервуаров за счет расширения площади цеха в результате переноса заготовительных операций  удалось достигнуть следующих результатов: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59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2 раза увеличилась производительность труда, стали производить по 8 резервуаров в месяц вместо 4;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59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4 раза сократили время на шитье теплоизоляционных матов благодаря созданному спецстенду для намотки и шитья;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59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2️ раза снизили время выполнения операции по приварке ребер жесткости, благодаря собственному разработанному решению рабочих предприятия;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59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3️ раза сократилось время на операцию по пескоструйной обработке резервуаров благодаря разработанному удобному ручному вращателю;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59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0️ претензий за счет улучшения качества покрытия пескоструйным методом.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ООО «РТЛ» и Удмуртия: новые перспективы сотрудничества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Представители ООО «РТЛ» с рабочим визитом посетили промышленные предприятия Удмуртии: ООО «ЗНО «Техновек», OOO «Нефть», АО «ИЭМЗ «Купол», АО «Концерн «Калашников». Делегаты ознакомились с выпускаемой продукцией, а также с производственными мощност</w:t>
      </w:r>
      <w:r>
        <w:rPr>
          <w:sz w:val="28"/>
          <w:szCs w:val="28"/>
          <w:highlight w:val="none"/>
        </w:rPr>
        <w:t xml:space="preserve">ями наших предприятий.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ООО «РТЛ» – компания, оказывающая транспортно-экспедиционные услуги по организации перевозки негабаритных и тяжеловесных грузов во все точки России, включая страны СНГ. 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Одной из ключевых тем встречи стала организация логистических цепочек. Представители ООО «РТЛ» предложили свои решения, которые позволят повысить эффективность и снизить затраты на транспортировку.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ООО «Уралсвязьснаб»: открытие новых перспектив для Удмуртии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ООО «Уралсвязьснаб» – предприятие, которое производит электронику для нужд ТЭК, РЖД, автомобильной отрасли, жгуты для бытовой и промышленной аппаратуры, осваивает и поставляет на серию автомобильные и общепромышленные разъемы.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На сегодняшний день компания бурно развивается и делает огромные шаги по импортонезависимости  электронной компонентной базы (ЭКБ). С 2022 года начались экспортные отгрузки производимой предприятием ЭКБ в составе смежных изделий.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sz w:val="28"/>
          <w:szCs w:val="28"/>
          <w:highlight w:val="none"/>
        </w:rPr>
        <w:t xml:space="preserve">Удмуртская Республика не сдает позиции!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огласно промежуточным итогам рейтинга национального проекта «Производительность труда» подведенным Минэкономразвития России  по итогам первого полугодия 2024 года Удмуртская Республика остается в числе регионов возглавляющих рейтинг национального проекта «</w:t>
      </w:r>
      <w:r>
        <w:rPr>
          <w:sz w:val="28"/>
          <w:szCs w:val="28"/>
          <w:highlight w:val="none"/>
        </w:rPr>
        <w:t xml:space="preserve">Производительность труда» за 2024 год.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При подведении итогов учитывались такие показатели как:</w:t>
      </w:r>
      <w:r>
        <w:rPr>
          <w:sz w:val="28"/>
          <w:szCs w:val="28"/>
          <w:highlight w:val="none"/>
        </w:rPr>
      </w:r>
      <w:r/>
    </w:p>
    <w:p>
      <w:pPr>
        <w:pStyle w:val="830"/>
        <w:numPr>
          <w:ilvl w:val="0"/>
          <w:numId w:val="60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️тиражирование лучших практик повышения производительности;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60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️охват предприятий мерами по обучению работников;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60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️объем льготного кредитования;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numPr>
          <w:ilvl w:val="0"/>
          <w:numId w:val="60"/>
        </w:numPr>
        <w:ind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️исполнительская и кассовая дисциплины региональных команд.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Национальный проект «Производительность труда» направлен на формирование современной производственной культуры. Эксперты помогают бизнесу эффективнее использовать внутренние ресурсы, обеспечивать полную загрузку оборудования, оптимизировать перемещения п</w:t>
      </w:r>
      <w:r>
        <w:rPr>
          <w:sz w:val="28"/>
          <w:szCs w:val="28"/>
          <w:highlight w:val="none"/>
        </w:rPr>
        <w:t xml:space="preserve">родукции, материалов и логистику в целом.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sz w:val="28"/>
          <w:szCs w:val="28"/>
          <w:highlight w:val="none"/>
        </w:rPr>
        <w:t xml:space="preserve">Льготные займы ФРП: Откройте новые горизонты для вашего промышленного предприятия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ООО «ИЗТТ-Сарапул» нарастило в 2,7 раза выпуск трубчатых электрических нагревательных элементов (ТЭН) для тепловых приборов бытового и промышленного назначения.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Фонд развития промышленности (ФРП) выделил предприятию льготный заем в размере 94 млн рублей по программе «Проекты развития». На эти средства ООО «ИЗТТ-Сарапул» приобрело высокопроизводительное оборудование, что позволило значительно увеличить технологиче</w:t>
      </w:r>
      <w:r>
        <w:rPr>
          <w:sz w:val="28"/>
          <w:szCs w:val="28"/>
          <w:highlight w:val="none"/>
        </w:rPr>
        <w:t xml:space="preserve">ские возможности компании - объем месячного производства вырос с 14 тыс. до 38 тыс. единиц ТЭН.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 конца текущего года в планах у предприятия изготовить 500 тыс. изделий, в 2025 году – 1 млн изделий. В дальнейшем ООО «ИЗТТ-Сарапул» намерено выпускать до 2,5 млн ТЭН в год, что почти в 15 раз превышает уровень производства до модернизации.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Воспользоваться льготным софинансированием может любое предприятие, которое планирует реализовать проекты, направленные на импортозамещение, производство высокотехнологичной и конкурентоспособной продукции. </w:t>
      </w:r>
      <w:r>
        <w:rPr>
          <w:sz w:val="28"/>
          <w:szCs w:val="28"/>
          <w:highlight w:val="none"/>
        </w:rPr>
        <w:t xml:space="preserve">Подать заявку и получить более подробную информацию можно на сайте ФРП: </w:t>
      </w:r>
      <w:hyperlink r:id="rId12" w:tooltip="https://frprf.ru/." w:history="1">
        <w:r>
          <w:rPr>
            <w:rStyle w:val="1006"/>
            <w:sz w:val="28"/>
            <w:szCs w:val="28"/>
            <w:highlight w:val="none"/>
          </w:rPr>
          <w:t xml:space="preserve">https://frprf.ru/.</w:t>
        </w:r>
        <w:r>
          <w:rPr>
            <w:rStyle w:val="1006"/>
            <w:sz w:val="28"/>
            <w:szCs w:val="28"/>
            <w:highlight w:val="none"/>
          </w:rPr>
        </w:r>
        <w:r>
          <w:rPr>
            <w:rStyle w:val="1006"/>
            <w:sz w:val="28"/>
            <w:szCs w:val="28"/>
            <w:highlight w:val="none"/>
          </w:rPr>
        </w:r>
        <w:r>
          <w:rPr>
            <w:rStyle w:val="1006"/>
            <w:sz w:val="28"/>
            <w:szCs w:val="28"/>
            <w:highlight w:val="none"/>
          </w:rPr>
        </w:r>
      </w:hyperlink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Кто знает, что такое ХАССП?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7 августа 2024 года Министерством промышленности и торговли Удмуртской Республики совместно с АНО «Роскачество» организован вебинар «Практика соблюдения принципов ХАССП. Санитарное законодательство 2024». 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Принципам ХАССП обучили 95 предприятий общественного питания, ритейла, гостиничного бизнеса. Все участники мероприятия получили образцы документов, необходимых для внедрения принципов ХАССП.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️ХАССП – это система управления пищевой безопасностью, набор обязательной для работы предприятия документации, которая позволяет оптимально организовать работу персонала и обеспечить изготовление качественной и безопасной для потребителя продукции. 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Внедрение ХАССП убережёт от заражений и порчи продукции, отравления гостей и последствий таких ситуаций, а также от административной ответственности, предусмотренной ст. 6.3, 6.6 КоАП. Это спокойствие собственника и гарантия безопасности его бизнеса.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sz w:val="28"/>
          <w:szCs w:val="28"/>
          <w:highlight w:val="none"/>
        </w:rPr>
        <w:t xml:space="preserve">Развитие экспорта в Удмуртии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В Приволжском федеральном округе определены победители Всероссийской премии «Экспортер года». Это организации и индивидуальные предприниматели, добившиеся существенных результатов в экспорте товаров, работ, услуг, а также результатов интеллектуальной деяте</w:t>
      </w:r>
      <w:r>
        <w:rPr>
          <w:sz w:val="28"/>
          <w:szCs w:val="28"/>
          <w:highlight w:val="none"/>
        </w:rPr>
        <w:t xml:space="preserve">льности.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Среди отличившихся отмечены промышленные предприятия Удмуртской Республики: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ООО «Новый дом» (3 место в номинации «Экспортер года в сфере промышленности» (МСП);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sz w:val="28"/>
          <w:szCs w:val="28"/>
          <w:highlight w:val="none"/>
        </w:rPr>
        <w:t xml:space="preserve">АО «Сарапульский электрогенераторный завод» (3 место в номинации «Экспортер года в сфере машиностроения» (крупный бизнес).</w:t>
      </w:r>
      <w:r>
        <w:rPr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Также генеральный директор ООО «Новый дом» Телицына Елена Александровна вошла в первую тройку в номинации «Лучшая женщина-экспортер» (МСП).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  <w:rPr>
        <w:rStyle w:val="1032"/>
      </w:rPr>
      <w:framePr w:wrap="around" w:vAnchor="text" w:hAnchor="margin" w:xAlign="right" w:y="1"/>
    </w:pPr>
    <w:r>
      <w:rPr>
        <w:rStyle w:val="1032"/>
      </w:rPr>
      <w:fldChar w:fldCharType="begin"/>
    </w:r>
    <w:r>
      <w:rPr>
        <w:rStyle w:val="1032"/>
      </w:rPr>
      <w:instrText xml:space="preserve">PAGE  </w:instrText>
    </w:r>
    <w:r>
      <w:rPr>
        <w:rStyle w:val="1032"/>
      </w:rPr>
      <w:fldChar w:fldCharType="separate"/>
    </w:r>
    <w:r>
      <w:rPr>
        <w:rStyle w:val="1032"/>
      </w:rPr>
      <w:t xml:space="preserve">5</w:t>
    </w:r>
    <w:r>
      <w:rPr>
        <w:rStyle w:val="1032"/>
      </w:rPr>
      <w:fldChar w:fldCharType="end"/>
    </w:r>
    <w:r>
      <w:rPr>
        <w:rStyle w:val="1032"/>
      </w:rPr>
    </w:r>
    <w:r>
      <w:rPr>
        <w:rStyle w:val="1032"/>
      </w:rPr>
    </w:r>
  </w:p>
  <w:p>
    <w:pPr>
      <w:pStyle w:val="102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98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2">
    <w:name w:val="Heading 1"/>
    <w:basedOn w:val="987"/>
    <w:next w:val="987"/>
    <w:link w:val="8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3">
    <w:name w:val="Heading 1 Char"/>
    <w:link w:val="812"/>
    <w:uiPriority w:val="9"/>
    <w:rPr>
      <w:rFonts w:ascii="Arial" w:hAnsi="Arial" w:eastAsia="Arial" w:cs="Arial"/>
      <w:sz w:val="40"/>
      <w:szCs w:val="40"/>
    </w:rPr>
  </w:style>
  <w:style w:type="paragraph" w:styleId="814">
    <w:name w:val="Heading 2"/>
    <w:basedOn w:val="987"/>
    <w:next w:val="987"/>
    <w:link w:val="8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5">
    <w:name w:val="Heading 2 Char"/>
    <w:link w:val="814"/>
    <w:uiPriority w:val="9"/>
    <w:rPr>
      <w:rFonts w:ascii="Arial" w:hAnsi="Arial" w:eastAsia="Arial" w:cs="Arial"/>
      <w:sz w:val="34"/>
    </w:rPr>
  </w:style>
  <w:style w:type="paragraph" w:styleId="816">
    <w:name w:val="Heading 3"/>
    <w:basedOn w:val="987"/>
    <w:next w:val="987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7">
    <w:name w:val="Heading 3 Char"/>
    <w:link w:val="816"/>
    <w:uiPriority w:val="9"/>
    <w:rPr>
      <w:rFonts w:ascii="Arial" w:hAnsi="Arial" w:eastAsia="Arial" w:cs="Arial"/>
      <w:sz w:val="30"/>
      <w:szCs w:val="30"/>
    </w:rPr>
  </w:style>
  <w:style w:type="paragraph" w:styleId="818">
    <w:name w:val="Heading 4"/>
    <w:basedOn w:val="987"/>
    <w:next w:val="987"/>
    <w:link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9">
    <w:name w:val="Heading 4 Char"/>
    <w:link w:val="818"/>
    <w:uiPriority w:val="9"/>
    <w:rPr>
      <w:rFonts w:ascii="Arial" w:hAnsi="Arial" w:eastAsia="Arial" w:cs="Arial"/>
      <w:b/>
      <w:bCs/>
      <w:sz w:val="26"/>
      <w:szCs w:val="26"/>
    </w:rPr>
  </w:style>
  <w:style w:type="paragraph" w:styleId="820">
    <w:name w:val="Heading 5"/>
    <w:basedOn w:val="987"/>
    <w:next w:val="987"/>
    <w:link w:val="8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1">
    <w:name w:val="Heading 5 Char"/>
    <w:link w:val="820"/>
    <w:uiPriority w:val="9"/>
    <w:rPr>
      <w:rFonts w:ascii="Arial" w:hAnsi="Arial" w:eastAsia="Arial" w:cs="Arial"/>
      <w:b/>
      <w:bCs/>
      <w:sz w:val="24"/>
      <w:szCs w:val="24"/>
    </w:rPr>
  </w:style>
  <w:style w:type="paragraph" w:styleId="822">
    <w:name w:val="Heading 6"/>
    <w:basedOn w:val="987"/>
    <w:next w:val="987"/>
    <w:link w:val="8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3">
    <w:name w:val="Heading 6 Char"/>
    <w:link w:val="822"/>
    <w:uiPriority w:val="9"/>
    <w:rPr>
      <w:rFonts w:ascii="Arial" w:hAnsi="Arial" w:eastAsia="Arial" w:cs="Arial"/>
      <w:b/>
      <w:bCs/>
      <w:sz w:val="22"/>
      <w:szCs w:val="22"/>
    </w:rPr>
  </w:style>
  <w:style w:type="paragraph" w:styleId="824">
    <w:name w:val="Heading 7"/>
    <w:basedOn w:val="987"/>
    <w:next w:val="987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5">
    <w:name w:val="Heading 7 Char"/>
    <w:link w:val="8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6">
    <w:name w:val="Heading 8"/>
    <w:basedOn w:val="987"/>
    <w:next w:val="987"/>
    <w:link w:val="8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7">
    <w:name w:val="Heading 8 Char"/>
    <w:link w:val="826"/>
    <w:uiPriority w:val="9"/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987"/>
    <w:next w:val="987"/>
    <w:link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9 Char"/>
    <w:link w:val="828"/>
    <w:uiPriority w:val="9"/>
    <w:rPr>
      <w:rFonts w:ascii="Arial" w:hAnsi="Arial" w:eastAsia="Arial" w:cs="Arial"/>
      <w:i/>
      <w:iCs/>
      <w:sz w:val="21"/>
      <w:szCs w:val="21"/>
    </w:rPr>
  </w:style>
  <w:style w:type="paragraph" w:styleId="830">
    <w:name w:val="List Paragraph"/>
    <w:basedOn w:val="987"/>
    <w:uiPriority w:val="34"/>
    <w:qFormat/>
    <w:pPr>
      <w:contextualSpacing/>
      <w:ind w:left="720"/>
    </w:pPr>
  </w:style>
  <w:style w:type="paragraph" w:styleId="831">
    <w:name w:val="No Spacing"/>
    <w:uiPriority w:val="1"/>
    <w:qFormat/>
    <w:pPr>
      <w:spacing w:before="0" w:after="0" w:line="240" w:lineRule="auto"/>
    </w:pPr>
  </w:style>
  <w:style w:type="character" w:styleId="832">
    <w:name w:val="Title Char"/>
    <w:link w:val="1061"/>
    <w:uiPriority w:val="10"/>
    <w:rPr>
      <w:sz w:val="48"/>
      <w:szCs w:val="48"/>
    </w:rPr>
  </w:style>
  <w:style w:type="paragraph" w:styleId="833">
    <w:name w:val="Subtitle"/>
    <w:basedOn w:val="987"/>
    <w:next w:val="987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link w:val="833"/>
    <w:uiPriority w:val="11"/>
    <w:rPr>
      <w:sz w:val="24"/>
      <w:szCs w:val="24"/>
    </w:rPr>
  </w:style>
  <w:style w:type="paragraph" w:styleId="835">
    <w:name w:val="Quote"/>
    <w:basedOn w:val="987"/>
    <w:next w:val="987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7"/>
    <w:next w:val="987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character" w:styleId="839">
    <w:name w:val="Header Char"/>
    <w:link w:val="1060"/>
    <w:uiPriority w:val="99"/>
  </w:style>
  <w:style w:type="paragraph" w:styleId="840">
    <w:name w:val="Footer"/>
    <w:basedOn w:val="987"/>
    <w:link w:val="8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1">
    <w:name w:val="Footer Char"/>
    <w:link w:val="840"/>
    <w:uiPriority w:val="99"/>
  </w:style>
  <w:style w:type="character" w:styleId="842">
    <w:name w:val="Caption Char"/>
    <w:basedOn w:val="1065"/>
    <w:link w:val="840"/>
    <w:uiPriority w:val="99"/>
  </w:style>
  <w:style w:type="table" w:styleId="8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9">
    <w:name w:val="Hyperlink"/>
    <w:uiPriority w:val="99"/>
    <w:unhideWhenUsed/>
    <w:rPr>
      <w:color w:val="0000ff" w:themeColor="hyperlink"/>
      <w:u w:val="single"/>
    </w:rPr>
  </w:style>
  <w:style w:type="paragraph" w:styleId="970">
    <w:name w:val="footnote text"/>
    <w:basedOn w:val="987"/>
    <w:link w:val="971"/>
    <w:uiPriority w:val="99"/>
    <w:semiHidden/>
    <w:unhideWhenUsed/>
    <w:pPr>
      <w:spacing w:after="40" w:line="240" w:lineRule="auto"/>
    </w:pPr>
    <w:rPr>
      <w:sz w:val="18"/>
    </w:rPr>
  </w:style>
  <w:style w:type="character" w:styleId="971">
    <w:name w:val="Footnote Text Char"/>
    <w:link w:val="970"/>
    <w:uiPriority w:val="99"/>
    <w:rPr>
      <w:sz w:val="18"/>
    </w:rPr>
  </w:style>
  <w:style w:type="character" w:styleId="972">
    <w:name w:val="footnote reference"/>
    <w:uiPriority w:val="99"/>
    <w:unhideWhenUsed/>
    <w:rPr>
      <w:vertAlign w:val="superscript"/>
    </w:rPr>
  </w:style>
  <w:style w:type="paragraph" w:styleId="973">
    <w:name w:val="endnote text"/>
    <w:basedOn w:val="987"/>
    <w:link w:val="974"/>
    <w:uiPriority w:val="99"/>
    <w:semiHidden/>
    <w:unhideWhenUsed/>
    <w:pPr>
      <w:spacing w:after="0" w:line="240" w:lineRule="auto"/>
    </w:pPr>
    <w:rPr>
      <w:sz w:val="20"/>
    </w:rPr>
  </w:style>
  <w:style w:type="character" w:styleId="974">
    <w:name w:val="Endnote Text Char"/>
    <w:link w:val="973"/>
    <w:uiPriority w:val="99"/>
    <w:rPr>
      <w:sz w:val="20"/>
    </w:rPr>
  </w:style>
  <w:style w:type="character" w:styleId="975">
    <w:name w:val="endnote reference"/>
    <w:uiPriority w:val="99"/>
    <w:semiHidden/>
    <w:unhideWhenUsed/>
    <w:rPr>
      <w:vertAlign w:val="superscript"/>
    </w:rPr>
  </w:style>
  <w:style w:type="paragraph" w:styleId="976">
    <w:name w:val="toc 1"/>
    <w:basedOn w:val="987"/>
    <w:next w:val="987"/>
    <w:uiPriority w:val="39"/>
    <w:unhideWhenUsed/>
    <w:pPr>
      <w:ind w:left="0" w:right="0" w:firstLine="0"/>
      <w:spacing w:after="57"/>
    </w:pPr>
  </w:style>
  <w:style w:type="paragraph" w:styleId="977">
    <w:name w:val="toc 2"/>
    <w:basedOn w:val="987"/>
    <w:next w:val="987"/>
    <w:uiPriority w:val="39"/>
    <w:unhideWhenUsed/>
    <w:pPr>
      <w:ind w:left="283" w:right="0" w:firstLine="0"/>
      <w:spacing w:after="57"/>
    </w:pPr>
  </w:style>
  <w:style w:type="paragraph" w:styleId="978">
    <w:name w:val="toc 3"/>
    <w:basedOn w:val="987"/>
    <w:next w:val="987"/>
    <w:uiPriority w:val="39"/>
    <w:unhideWhenUsed/>
    <w:pPr>
      <w:ind w:left="567" w:right="0" w:firstLine="0"/>
      <w:spacing w:after="57"/>
    </w:pPr>
  </w:style>
  <w:style w:type="paragraph" w:styleId="979">
    <w:name w:val="toc 4"/>
    <w:basedOn w:val="987"/>
    <w:next w:val="987"/>
    <w:uiPriority w:val="39"/>
    <w:unhideWhenUsed/>
    <w:pPr>
      <w:ind w:left="850" w:right="0" w:firstLine="0"/>
      <w:spacing w:after="57"/>
    </w:pPr>
  </w:style>
  <w:style w:type="paragraph" w:styleId="980">
    <w:name w:val="toc 5"/>
    <w:basedOn w:val="987"/>
    <w:next w:val="987"/>
    <w:uiPriority w:val="39"/>
    <w:unhideWhenUsed/>
    <w:pPr>
      <w:ind w:left="1134" w:right="0" w:firstLine="0"/>
      <w:spacing w:after="57"/>
    </w:pPr>
  </w:style>
  <w:style w:type="paragraph" w:styleId="981">
    <w:name w:val="toc 6"/>
    <w:basedOn w:val="987"/>
    <w:next w:val="987"/>
    <w:uiPriority w:val="39"/>
    <w:unhideWhenUsed/>
    <w:pPr>
      <w:ind w:left="1417" w:right="0" w:firstLine="0"/>
      <w:spacing w:after="57"/>
    </w:pPr>
  </w:style>
  <w:style w:type="paragraph" w:styleId="982">
    <w:name w:val="toc 7"/>
    <w:basedOn w:val="987"/>
    <w:next w:val="987"/>
    <w:uiPriority w:val="39"/>
    <w:unhideWhenUsed/>
    <w:pPr>
      <w:ind w:left="1701" w:right="0" w:firstLine="0"/>
      <w:spacing w:after="57"/>
    </w:pPr>
  </w:style>
  <w:style w:type="paragraph" w:styleId="983">
    <w:name w:val="toc 8"/>
    <w:basedOn w:val="987"/>
    <w:next w:val="987"/>
    <w:uiPriority w:val="39"/>
    <w:unhideWhenUsed/>
    <w:pPr>
      <w:ind w:left="1984" w:right="0" w:firstLine="0"/>
      <w:spacing w:after="57"/>
    </w:pPr>
  </w:style>
  <w:style w:type="paragraph" w:styleId="984">
    <w:name w:val="toc 9"/>
    <w:basedOn w:val="987"/>
    <w:next w:val="987"/>
    <w:uiPriority w:val="39"/>
    <w:unhideWhenUsed/>
    <w:pPr>
      <w:ind w:left="2268" w:right="0" w:firstLine="0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987"/>
    <w:next w:val="987"/>
    <w:uiPriority w:val="99"/>
    <w:unhideWhenUsed/>
    <w:pPr>
      <w:spacing w:after="0" w:afterAutospacing="0"/>
    </w:pPr>
  </w:style>
  <w:style w:type="paragraph" w:styleId="987" w:default="1">
    <w:name w:val="Normal"/>
    <w:next w:val="987"/>
    <w:link w:val="987"/>
    <w:qFormat/>
    <w:rPr>
      <w:lang w:val="ru-RU" w:eastAsia="ar-SA" w:bidi="ar-SA"/>
    </w:rPr>
  </w:style>
  <w:style w:type="paragraph" w:styleId="988">
    <w:name w:val="Заголовок 1"/>
    <w:basedOn w:val="987"/>
    <w:next w:val="987"/>
    <w:link w:val="105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89">
    <w:name w:val="Заголовок 2"/>
    <w:basedOn w:val="987"/>
    <w:next w:val="989"/>
    <w:link w:val="105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990">
    <w:name w:val="Заголовок 3"/>
    <w:basedOn w:val="987"/>
    <w:next w:val="987"/>
    <w:link w:val="105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91">
    <w:name w:val="Заголовок 4"/>
    <w:basedOn w:val="987"/>
    <w:next w:val="987"/>
    <w:link w:val="105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92">
    <w:name w:val="Основной шрифт абзаца"/>
    <w:next w:val="992"/>
    <w:link w:val="987"/>
    <w:semiHidden/>
  </w:style>
  <w:style w:type="table" w:styleId="993">
    <w:name w:val="Обычная таблица"/>
    <w:next w:val="993"/>
    <w:link w:val="987"/>
    <w:uiPriority w:val="99"/>
    <w:semiHidden/>
    <w:unhideWhenUsed/>
    <w:tblPr/>
  </w:style>
  <w:style w:type="numbering" w:styleId="994">
    <w:name w:val="Нет списка"/>
    <w:next w:val="994"/>
    <w:link w:val="987"/>
    <w:uiPriority w:val="99"/>
    <w:semiHidden/>
    <w:unhideWhenUsed/>
  </w:style>
  <w:style w:type="character" w:styleId="995">
    <w:name w:val="Основной шрифт абзаца6"/>
    <w:next w:val="995"/>
    <w:link w:val="987"/>
  </w:style>
  <w:style w:type="character" w:styleId="996">
    <w:name w:val="Основной шрифт абзаца5"/>
    <w:next w:val="996"/>
    <w:link w:val="987"/>
  </w:style>
  <w:style w:type="character" w:styleId="997">
    <w:name w:val="Основной шрифт абзаца4"/>
    <w:next w:val="997"/>
    <w:link w:val="987"/>
  </w:style>
  <w:style w:type="character" w:styleId="998">
    <w:name w:val="Absatz-Standardschriftart"/>
    <w:next w:val="998"/>
    <w:link w:val="987"/>
  </w:style>
  <w:style w:type="character" w:styleId="999">
    <w:name w:val="WW-Absatz-Standardschriftart"/>
    <w:next w:val="999"/>
    <w:link w:val="987"/>
  </w:style>
  <w:style w:type="character" w:styleId="1000">
    <w:name w:val="Основной шрифт абзаца3"/>
    <w:next w:val="1000"/>
    <w:link w:val="987"/>
  </w:style>
  <w:style w:type="character" w:styleId="1001">
    <w:name w:val="WW-Absatz-Standardschriftart1"/>
    <w:next w:val="1001"/>
    <w:link w:val="987"/>
  </w:style>
  <w:style w:type="character" w:styleId="1002">
    <w:name w:val="Основной шрифт абзаца2"/>
    <w:next w:val="1002"/>
    <w:link w:val="987"/>
  </w:style>
  <w:style w:type="character" w:styleId="1003">
    <w:name w:val="WW-Absatz-Standardschriftart11"/>
    <w:next w:val="1003"/>
    <w:link w:val="987"/>
  </w:style>
  <w:style w:type="character" w:styleId="1004">
    <w:name w:val="Основной шрифт абзаца1"/>
    <w:next w:val="1004"/>
    <w:link w:val="987"/>
  </w:style>
  <w:style w:type="character" w:styleId="1005">
    <w:name w:val="Îñíîâíîé øðèôò"/>
    <w:next w:val="1005"/>
    <w:link w:val="987"/>
  </w:style>
  <w:style w:type="character" w:styleId="1006">
    <w:name w:val="Гиперссылка"/>
    <w:next w:val="1006"/>
    <w:link w:val="987"/>
    <w:uiPriority w:val="99"/>
    <w:semiHidden/>
    <w:rPr>
      <w:color w:val="0000ff"/>
      <w:u w:val="single"/>
    </w:rPr>
  </w:style>
  <w:style w:type="character" w:styleId="1007">
    <w:name w:val="Просмотренная гиперссылка"/>
    <w:next w:val="1007"/>
    <w:link w:val="987"/>
    <w:semiHidden/>
    <w:rPr>
      <w:color w:val="800080"/>
      <w:u w:val="single"/>
    </w:rPr>
  </w:style>
  <w:style w:type="paragraph" w:styleId="1008">
    <w:name w:val="Заголовок"/>
    <w:basedOn w:val="987"/>
    <w:next w:val="1009"/>
    <w:link w:val="98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09">
    <w:name w:val="Основной текст"/>
    <w:basedOn w:val="987"/>
    <w:next w:val="1009"/>
    <w:link w:val="987"/>
    <w:semiHidden/>
    <w:rPr>
      <w:sz w:val="28"/>
    </w:rPr>
  </w:style>
  <w:style w:type="paragraph" w:styleId="1010">
    <w:name w:val="Список"/>
    <w:basedOn w:val="1009"/>
    <w:next w:val="1010"/>
    <w:link w:val="987"/>
    <w:semiHidden/>
    <w:rPr>
      <w:rFonts w:ascii="Arial" w:hAnsi="Arial" w:cs="Tahoma"/>
    </w:rPr>
  </w:style>
  <w:style w:type="paragraph" w:styleId="1011">
    <w:name w:val="Название6"/>
    <w:basedOn w:val="987"/>
    <w:next w:val="1011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2">
    <w:name w:val="Указатель6"/>
    <w:basedOn w:val="987"/>
    <w:next w:val="1012"/>
    <w:link w:val="987"/>
    <w:pPr>
      <w:suppressLineNumbers/>
    </w:pPr>
    <w:rPr>
      <w:rFonts w:ascii="Arial" w:hAnsi="Arial" w:cs="Tahoma"/>
    </w:rPr>
  </w:style>
  <w:style w:type="paragraph" w:styleId="1013">
    <w:name w:val="Название5"/>
    <w:basedOn w:val="987"/>
    <w:next w:val="1013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4">
    <w:name w:val="Указатель5"/>
    <w:basedOn w:val="987"/>
    <w:next w:val="1014"/>
    <w:link w:val="987"/>
    <w:pPr>
      <w:suppressLineNumbers/>
    </w:pPr>
    <w:rPr>
      <w:rFonts w:ascii="Arial" w:hAnsi="Arial" w:cs="Tahoma"/>
    </w:rPr>
  </w:style>
  <w:style w:type="paragraph" w:styleId="1015">
    <w:name w:val="Название4"/>
    <w:basedOn w:val="987"/>
    <w:next w:val="1015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6">
    <w:name w:val="Указатель4"/>
    <w:basedOn w:val="987"/>
    <w:next w:val="1016"/>
    <w:link w:val="987"/>
    <w:pPr>
      <w:suppressLineNumbers/>
    </w:pPr>
    <w:rPr>
      <w:rFonts w:ascii="Arial" w:hAnsi="Arial" w:cs="Tahoma"/>
    </w:rPr>
  </w:style>
  <w:style w:type="paragraph" w:styleId="1017">
    <w:name w:val="Название3"/>
    <w:basedOn w:val="987"/>
    <w:next w:val="1017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8">
    <w:name w:val="Указатель3"/>
    <w:basedOn w:val="987"/>
    <w:next w:val="1018"/>
    <w:link w:val="987"/>
    <w:pPr>
      <w:suppressLineNumbers/>
    </w:pPr>
    <w:rPr>
      <w:rFonts w:ascii="Arial" w:hAnsi="Arial" w:cs="Tahoma"/>
    </w:rPr>
  </w:style>
  <w:style w:type="paragraph" w:styleId="1019">
    <w:name w:val="Название2"/>
    <w:basedOn w:val="987"/>
    <w:next w:val="1019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20">
    <w:name w:val="Указатель2"/>
    <w:basedOn w:val="987"/>
    <w:next w:val="1020"/>
    <w:link w:val="987"/>
    <w:pPr>
      <w:suppressLineNumbers/>
    </w:pPr>
    <w:rPr>
      <w:rFonts w:ascii="Arial" w:hAnsi="Arial" w:cs="Tahoma"/>
    </w:rPr>
  </w:style>
  <w:style w:type="paragraph" w:styleId="1021">
    <w:name w:val="Название1"/>
    <w:basedOn w:val="987"/>
    <w:next w:val="1021"/>
    <w:link w:val="98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22">
    <w:name w:val="Указатель1"/>
    <w:basedOn w:val="987"/>
    <w:next w:val="1022"/>
    <w:link w:val="987"/>
    <w:pPr>
      <w:suppressLineNumbers/>
    </w:pPr>
    <w:rPr>
      <w:rFonts w:ascii="Arial" w:hAnsi="Arial" w:cs="Tahoma"/>
    </w:rPr>
  </w:style>
  <w:style w:type="paragraph" w:styleId="1023">
    <w:name w:val="Верхний колонтитул"/>
    <w:basedOn w:val="987"/>
    <w:next w:val="1023"/>
    <w:link w:val="103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24">
    <w:name w:val="Нижний колонтитул"/>
    <w:basedOn w:val="987"/>
    <w:next w:val="1024"/>
    <w:link w:val="103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25">
    <w:name w:val="Текст выноски"/>
    <w:basedOn w:val="987"/>
    <w:next w:val="1025"/>
    <w:link w:val="987"/>
    <w:rPr>
      <w:rFonts w:ascii="Tahoma" w:hAnsi="Tahoma" w:cs="Tahoma"/>
      <w:sz w:val="16"/>
      <w:szCs w:val="16"/>
    </w:rPr>
  </w:style>
  <w:style w:type="paragraph" w:styleId="1026">
    <w:name w:val="Содержимое таблицы"/>
    <w:basedOn w:val="987"/>
    <w:next w:val="1026"/>
    <w:link w:val="987"/>
    <w:pPr>
      <w:suppressLineNumbers/>
    </w:pPr>
  </w:style>
  <w:style w:type="paragraph" w:styleId="1027">
    <w:name w:val="Заголовок таблицы"/>
    <w:basedOn w:val="1026"/>
    <w:next w:val="1027"/>
    <w:link w:val="987"/>
    <w:pPr>
      <w:jc w:val="center"/>
      <w:suppressLineNumbers/>
    </w:pPr>
    <w:rPr>
      <w:b/>
      <w:bCs/>
    </w:rPr>
  </w:style>
  <w:style w:type="paragraph" w:styleId="1028">
    <w:name w:val="Содержимое врезки"/>
    <w:basedOn w:val="1009"/>
    <w:next w:val="1028"/>
    <w:link w:val="987"/>
  </w:style>
  <w:style w:type="table" w:styleId="1029">
    <w:name w:val="Сетка таблицы"/>
    <w:basedOn w:val="993"/>
    <w:next w:val="1029"/>
    <w:link w:val="987"/>
    <w:tblPr/>
  </w:style>
  <w:style w:type="character" w:styleId="1030">
    <w:name w:val="Верхний колонтитул Знак"/>
    <w:next w:val="1030"/>
    <w:link w:val="1023"/>
    <w:rPr>
      <w:lang w:eastAsia="ar-SA"/>
    </w:rPr>
  </w:style>
  <w:style w:type="character" w:styleId="1031">
    <w:name w:val="Нижний колонтитул Знак"/>
    <w:next w:val="1031"/>
    <w:link w:val="1024"/>
    <w:rPr>
      <w:lang w:eastAsia="ar-SA"/>
    </w:rPr>
  </w:style>
  <w:style w:type="character" w:styleId="1032">
    <w:name w:val="Номер страницы"/>
    <w:basedOn w:val="992"/>
    <w:next w:val="1032"/>
    <w:link w:val="987"/>
  </w:style>
  <w:style w:type="character" w:styleId="1033">
    <w:name w:val="Основной текст + 16,5 pt2,Курсив1,Основной текст + 10"/>
    <w:next w:val="1033"/>
    <w:link w:val="98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34">
    <w:name w:val="Основной текст (3)_"/>
    <w:next w:val="1034"/>
    <w:link w:val="1035"/>
    <w:rPr>
      <w:sz w:val="22"/>
      <w:szCs w:val="22"/>
      <w:shd w:val="clear" w:color="auto" w:fill="ffffff"/>
    </w:rPr>
  </w:style>
  <w:style w:type="paragraph" w:styleId="1035">
    <w:name w:val="Основной текст (3)"/>
    <w:basedOn w:val="987"/>
    <w:next w:val="1035"/>
    <w:link w:val="103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36">
    <w:name w:val="Без интервала"/>
    <w:next w:val="1036"/>
    <w:link w:val="98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37">
    <w:name w:val="Font Style13"/>
    <w:next w:val="1037"/>
    <w:link w:val="987"/>
    <w:rPr>
      <w:rFonts w:ascii="Times New Roman" w:hAnsi="Times New Roman" w:cs="Times New Roman"/>
      <w:sz w:val="26"/>
      <w:szCs w:val="26"/>
    </w:rPr>
  </w:style>
  <w:style w:type="paragraph" w:styleId="1038">
    <w:name w:val="Обычный (веб)"/>
    <w:basedOn w:val="987"/>
    <w:next w:val="1038"/>
    <w:link w:val="98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39">
    <w:name w:val="apple-converted-space"/>
    <w:next w:val="1039"/>
    <w:link w:val="987"/>
  </w:style>
  <w:style w:type="character" w:styleId="1040">
    <w:name w:val="Font Style18"/>
    <w:next w:val="1040"/>
    <w:link w:val="987"/>
    <w:uiPriority w:val="99"/>
    <w:rPr>
      <w:rFonts w:ascii="Times New Roman" w:hAnsi="Times New Roman" w:cs="Times New Roman"/>
      <w:sz w:val="26"/>
      <w:szCs w:val="26"/>
    </w:rPr>
  </w:style>
  <w:style w:type="paragraph" w:styleId="1041">
    <w:name w:val="Основной текст с отступом"/>
    <w:basedOn w:val="987"/>
    <w:next w:val="1041"/>
    <w:link w:val="104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42">
    <w:name w:val="Основной текст с отступом Знак"/>
    <w:next w:val="1042"/>
    <w:link w:val="1041"/>
    <w:uiPriority w:val="99"/>
    <w:rPr>
      <w:color w:val="000000"/>
      <w:sz w:val="28"/>
      <w:szCs w:val="28"/>
      <w:lang w:eastAsia="ar-SA"/>
    </w:rPr>
  </w:style>
  <w:style w:type="paragraph" w:styleId="1043">
    <w:name w:val="ConsPlusNormal"/>
    <w:next w:val="1043"/>
    <w:link w:val="104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44">
    <w:name w:val="ConsPlusNormal Знак"/>
    <w:next w:val="1044"/>
    <w:link w:val="1043"/>
    <w:rPr>
      <w:rFonts w:ascii="Arial" w:hAnsi="Arial" w:cs="Arial"/>
      <w:lang w:val="ru-RU" w:eastAsia="ru-RU" w:bidi="ar-SA"/>
    </w:rPr>
  </w:style>
  <w:style w:type="paragraph" w:styleId="1045">
    <w:name w:val="Основной текст с отступом 2"/>
    <w:basedOn w:val="987"/>
    <w:next w:val="1045"/>
    <w:link w:val="104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46">
    <w:name w:val="Основной текст с отступом 2 Знак"/>
    <w:next w:val="1046"/>
    <w:link w:val="1045"/>
    <w:uiPriority w:val="99"/>
    <w:rPr>
      <w:color w:val="000000"/>
      <w:sz w:val="26"/>
      <w:szCs w:val="26"/>
      <w:lang w:eastAsia="ar-SA"/>
    </w:rPr>
  </w:style>
  <w:style w:type="character" w:styleId="1047">
    <w:name w:val="Знак примечания"/>
    <w:next w:val="1047"/>
    <w:link w:val="987"/>
    <w:uiPriority w:val="99"/>
    <w:semiHidden/>
    <w:unhideWhenUsed/>
    <w:rPr>
      <w:sz w:val="16"/>
      <w:szCs w:val="16"/>
    </w:rPr>
  </w:style>
  <w:style w:type="paragraph" w:styleId="1048">
    <w:name w:val="Текст примечания"/>
    <w:basedOn w:val="987"/>
    <w:next w:val="1048"/>
    <w:link w:val="1049"/>
    <w:uiPriority w:val="99"/>
    <w:semiHidden/>
    <w:unhideWhenUsed/>
  </w:style>
  <w:style w:type="character" w:styleId="1049">
    <w:name w:val="Текст примечания Знак"/>
    <w:next w:val="1049"/>
    <w:link w:val="1048"/>
    <w:uiPriority w:val="99"/>
    <w:semiHidden/>
    <w:rPr>
      <w:lang w:eastAsia="ar-SA"/>
    </w:rPr>
  </w:style>
  <w:style w:type="paragraph" w:styleId="1050">
    <w:name w:val="Тема примечания"/>
    <w:basedOn w:val="1048"/>
    <w:next w:val="1048"/>
    <w:link w:val="1051"/>
    <w:uiPriority w:val="99"/>
    <w:semiHidden/>
    <w:unhideWhenUsed/>
    <w:rPr>
      <w:b/>
      <w:bCs/>
    </w:rPr>
  </w:style>
  <w:style w:type="character" w:styleId="1051">
    <w:name w:val="Тема примечания Знак"/>
    <w:next w:val="1051"/>
    <w:link w:val="1050"/>
    <w:uiPriority w:val="99"/>
    <w:semiHidden/>
    <w:rPr>
      <w:b/>
      <w:bCs/>
      <w:lang w:eastAsia="ar-SA"/>
    </w:rPr>
  </w:style>
  <w:style w:type="character" w:styleId="1052">
    <w:name w:val="Строгий"/>
    <w:next w:val="1052"/>
    <w:link w:val="987"/>
    <w:uiPriority w:val="22"/>
    <w:qFormat/>
    <w:rPr>
      <w:b/>
      <w:bCs/>
    </w:rPr>
  </w:style>
  <w:style w:type="character" w:styleId="1053">
    <w:name w:val="Заголовок 2 Знак"/>
    <w:next w:val="1053"/>
    <w:link w:val="989"/>
    <w:uiPriority w:val="9"/>
    <w:rPr>
      <w:b/>
      <w:bCs/>
      <w:sz w:val="36"/>
      <w:szCs w:val="36"/>
    </w:rPr>
  </w:style>
  <w:style w:type="paragraph" w:styleId="1054">
    <w:name w:val="paragraph"/>
    <w:basedOn w:val="987"/>
    <w:next w:val="1054"/>
    <w:link w:val="9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5">
    <w:name w:val="Заголовок 1 Знак"/>
    <w:next w:val="1055"/>
    <w:link w:val="98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56">
    <w:name w:val="b-article__text"/>
    <w:basedOn w:val="987"/>
    <w:next w:val="1056"/>
    <w:link w:val="9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7">
    <w:name w:val="Заголовок 4 Знак"/>
    <w:next w:val="1057"/>
    <w:link w:val="99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58">
    <w:name w:val="Заголовок 3 Знак"/>
    <w:next w:val="1058"/>
    <w:link w:val="99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59">
    <w:name w:val="Абзац списка"/>
    <w:basedOn w:val="987"/>
    <w:next w:val="1059"/>
    <w:link w:val="98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60">
    <w:name w:val="Header"/>
    <w:next w:val="1060"/>
    <w:link w:val="987"/>
  </w:style>
  <w:style w:type="character" w:styleId="1061">
    <w:name w:val="Title"/>
    <w:next w:val="1061"/>
    <w:link w:val="987"/>
  </w:style>
  <w:style w:type="character" w:styleId="1062">
    <w:name w:val="dashed"/>
    <w:next w:val="1062"/>
    <w:link w:val="987"/>
  </w:style>
  <w:style w:type="character" w:styleId="1063">
    <w:name w:val="buttons"/>
    <w:next w:val="1063"/>
    <w:link w:val="987"/>
  </w:style>
  <w:style w:type="paragraph" w:styleId="1064">
    <w:name w:val="float"/>
    <w:basedOn w:val="987"/>
    <w:next w:val="1064"/>
    <w:link w:val="98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65">
    <w:name w:val="Caption"/>
    <w:next w:val="1065"/>
    <w:link w:val="987"/>
  </w:style>
  <w:style w:type="character" w:styleId="1066">
    <w:name w:val="time"/>
    <w:next w:val="1066"/>
    <w:link w:val="987"/>
  </w:style>
  <w:style w:type="character" w:styleId="1067">
    <w:name w:val="i18n"/>
    <w:next w:val="1067"/>
    <w:link w:val="987"/>
  </w:style>
  <w:style w:type="paragraph" w:styleId="1068">
    <w:name w:val="z-Начало формы"/>
    <w:basedOn w:val="987"/>
    <w:next w:val="987"/>
    <w:link w:val="106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69">
    <w:name w:val="z-Начало формы Знак"/>
    <w:next w:val="1069"/>
    <w:link w:val="1068"/>
    <w:uiPriority w:val="99"/>
    <w:semiHidden/>
    <w:rPr>
      <w:rFonts w:ascii="Arial" w:hAnsi="Arial" w:cs="Arial"/>
      <w:vanish/>
      <w:sz w:val="16"/>
      <w:szCs w:val="16"/>
    </w:rPr>
  </w:style>
  <w:style w:type="paragraph" w:styleId="1070">
    <w:name w:val="z-Конец формы"/>
    <w:basedOn w:val="987"/>
    <w:next w:val="987"/>
    <w:link w:val="107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71">
    <w:name w:val="z-Конец формы Знак"/>
    <w:next w:val="1071"/>
    <w:link w:val="1070"/>
    <w:uiPriority w:val="99"/>
    <w:semiHidden/>
    <w:rPr>
      <w:rFonts w:ascii="Arial" w:hAnsi="Arial" w:cs="Arial"/>
      <w:vanish/>
      <w:sz w:val="16"/>
      <w:szCs w:val="16"/>
    </w:rPr>
  </w:style>
  <w:style w:type="character" w:styleId="1072">
    <w:name w:val="message-time"/>
    <w:next w:val="1072"/>
    <w:link w:val="987"/>
  </w:style>
  <w:style w:type="character" w:styleId="1073" w:default="1">
    <w:name w:val="Default Paragraph Font"/>
    <w:uiPriority w:val="1"/>
    <w:semiHidden/>
    <w:unhideWhenUsed/>
  </w:style>
  <w:style w:type="numbering" w:styleId="1074" w:default="1">
    <w:name w:val="No List"/>
    <w:uiPriority w:val="99"/>
    <w:semiHidden/>
    <w:unhideWhenUsed/>
  </w:style>
  <w:style w:type="table" w:styleId="10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s://frprf.ru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45</cp:revision>
  <dcterms:created xsi:type="dcterms:W3CDTF">2023-12-05T08:05:00Z</dcterms:created>
  <dcterms:modified xsi:type="dcterms:W3CDTF">2024-09-13T07:31:43Z</dcterms:modified>
  <cp:version>917504</cp:version>
</cp:coreProperties>
</file>